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C27" w:rsidRDefault="00BF1C27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 w:rsidRPr="000B0A7D"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029E76" wp14:editId="6C85E749">
                <wp:simplePos x="0" y="0"/>
                <wp:positionH relativeFrom="column">
                  <wp:posOffset>1942465</wp:posOffset>
                </wp:positionH>
                <wp:positionV relativeFrom="paragraph">
                  <wp:posOffset>7178</wp:posOffset>
                </wp:positionV>
                <wp:extent cx="2948305" cy="370936"/>
                <wp:effectExtent l="0" t="0" r="23495" b="101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70936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2C67" w:rsidRPr="00542ED0" w:rsidRDefault="00542ED0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  <w:t>Activité de groupe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029E7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52.95pt;margin-top:.55pt;width:232.15pt;height:29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" fillcolor="#0070c0" strokecolor="#4f81bd" strokeweight=".5pt">
                <v:textbox>
                  <w:txbxContent>
                    <w:p w:rsidR="00572C67" w:rsidRPr="00542ED0" w:rsidRDefault="00542ED0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  <w:t>Activité de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647D4F" w:rsidRPr="000B0A7D" w:rsidRDefault="00647D4F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647D4F" w:rsidRPr="000B0A7D" w:rsidRDefault="00647D4F" w:rsidP="007737D1">
      <w:pPr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2"/>
        <w:gridCol w:w="7618"/>
      </w:tblGrid>
      <w:tr w:rsidR="00647D4F" w:rsidRPr="000B0A7D" w:rsidTr="00BF1C27">
        <w:trPr>
          <w:trHeight w:val="665"/>
        </w:trPr>
        <w:tc>
          <w:tcPr>
            <w:tcW w:w="2192" w:type="dxa"/>
          </w:tcPr>
          <w:p w:rsidR="00647D4F" w:rsidRPr="000B0A7D" w:rsidRDefault="00FB7339" w:rsidP="00BF1C27">
            <w:pPr>
              <w:spacing w:before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E554B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9E554B" w:rsidRPr="009E554B">
              <w:rPr>
                <w:rFonts w:ascii="Arial" w:hAnsi="Arial" w:cs="Arial"/>
                <w:b/>
                <w:bCs/>
                <w:lang w:val="fr-FR"/>
              </w:rPr>
              <w:t xml:space="preserve"> d’activité</w:t>
            </w:r>
            <w:r w:rsidRPr="009E554B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7618" w:type="dxa"/>
          </w:tcPr>
          <w:p w:rsidR="00647D4F" w:rsidRPr="000B0A7D" w:rsidRDefault="00FB7339" w:rsidP="00BF1C27">
            <w:pPr>
              <w:tabs>
                <w:tab w:val="left" w:pos="720"/>
              </w:tabs>
              <w:spacing w:before="120"/>
              <w:rPr>
                <w:rFonts w:ascii="Arial" w:hAnsi="Arial" w:cs="Arial"/>
                <w:lang w:val="en-GB"/>
              </w:rPr>
            </w:pPr>
            <w:r w:rsidRPr="009E554B">
              <w:rPr>
                <w:rFonts w:ascii="Arial" w:hAnsi="Arial" w:cs="Arial"/>
                <w:lang w:val="fr-FR"/>
              </w:rPr>
              <w:t>Etude de cas</w:t>
            </w:r>
          </w:p>
          <w:p w:rsidR="00647D4F" w:rsidRPr="000B0A7D" w:rsidRDefault="00FB7339" w:rsidP="00BF1C27">
            <w:pPr>
              <w:tabs>
                <w:tab w:val="left" w:pos="720"/>
              </w:tabs>
              <w:spacing w:before="120"/>
              <w:rPr>
                <w:rFonts w:ascii="Arial" w:hAnsi="Arial" w:cs="Arial"/>
                <w:lang w:val="en-GB"/>
              </w:rPr>
            </w:pPr>
            <w:r w:rsidRPr="009E554B">
              <w:rPr>
                <w:rFonts w:ascii="Arial" w:hAnsi="Arial" w:cs="Arial"/>
                <w:lang w:val="fr-FR"/>
              </w:rPr>
              <w:t> </w:t>
            </w:r>
            <w:r w:rsidR="00C9282E" w:rsidRPr="009E554B">
              <w:rPr>
                <w:rFonts w:ascii="Arial" w:hAnsi="Arial" w:cs="Arial"/>
                <w:lang w:val="fr-FR"/>
              </w:rPr>
              <w:t>« D</w:t>
            </w:r>
            <w:r w:rsidRPr="009E554B">
              <w:rPr>
                <w:rFonts w:ascii="Arial" w:hAnsi="Arial" w:cs="Arial"/>
                <w:lang w:val="fr-FR"/>
              </w:rPr>
              <w:t>iscrimination à l’école</w:t>
            </w:r>
            <w:r w:rsidR="00C9282E" w:rsidRPr="009E554B">
              <w:rPr>
                <w:rFonts w:ascii="Arial" w:hAnsi="Arial" w:cs="Arial"/>
                <w:lang w:val="fr-FR"/>
              </w:rPr>
              <w:t> »</w:t>
            </w:r>
          </w:p>
        </w:tc>
      </w:tr>
      <w:tr w:rsidR="00647D4F" w:rsidRPr="000B0A7D" w:rsidTr="00BF1C27">
        <w:tc>
          <w:tcPr>
            <w:tcW w:w="2192" w:type="dxa"/>
          </w:tcPr>
          <w:p w:rsidR="00647D4F" w:rsidRPr="000B0A7D" w:rsidRDefault="00FB7339" w:rsidP="00BF1C27">
            <w:pPr>
              <w:spacing w:before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E554B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</w:tc>
        <w:tc>
          <w:tcPr>
            <w:tcW w:w="7618" w:type="dxa"/>
          </w:tcPr>
          <w:p w:rsidR="00647D4F" w:rsidRPr="000B0A7D" w:rsidRDefault="00C9282E" w:rsidP="00BF1C27">
            <w:pPr>
              <w:pStyle w:val="Titre1"/>
              <w:spacing w:before="12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9E554B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1 heure</w:t>
            </w:r>
          </w:p>
        </w:tc>
      </w:tr>
      <w:tr w:rsidR="00647D4F" w:rsidRPr="000B0A7D" w:rsidTr="00BF1C27">
        <w:trPr>
          <w:trHeight w:val="435"/>
        </w:trPr>
        <w:tc>
          <w:tcPr>
            <w:tcW w:w="2192" w:type="dxa"/>
          </w:tcPr>
          <w:p w:rsidR="00647D4F" w:rsidRPr="000B0A7D" w:rsidRDefault="00C9282E" w:rsidP="00BF1C27">
            <w:pPr>
              <w:spacing w:before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E554B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</w:tc>
        <w:tc>
          <w:tcPr>
            <w:tcW w:w="7618" w:type="dxa"/>
          </w:tcPr>
          <w:p w:rsidR="00647D4F" w:rsidRPr="000B0A7D" w:rsidRDefault="00C9282E" w:rsidP="00BF1C27">
            <w:pPr>
              <w:spacing w:before="120"/>
              <w:rPr>
                <w:rFonts w:ascii="Arial" w:hAnsi="Arial" w:cs="Arial"/>
                <w:lang w:val="en-GB" w:eastAsia="en-GB"/>
              </w:rPr>
            </w:pPr>
            <w:r w:rsidRPr="009E554B">
              <w:rPr>
                <w:rFonts w:ascii="Arial" w:hAnsi="Arial" w:cs="Arial"/>
                <w:bCs/>
                <w:lang w:val="fr-FR"/>
              </w:rPr>
              <w:t>Tables faciles à déplacer et à rapprocher</w:t>
            </w:r>
            <w:r w:rsidR="009E554B" w:rsidRPr="009E554B">
              <w:rPr>
                <w:rFonts w:ascii="Arial" w:hAnsi="Arial" w:cs="Arial"/>
                <w:bCs/>
                <w:lang w:val="fr-FR"/>
              </w:rPr>
              <w:t>,</w:t>
            </w:r>
            <w:r w:rsidRPr="009E554B">
              <w:rPr>
                <w:rFonts w:ascii="Arial" w:hAnsi="Arial" w:cs="Arial"/>
                <w:bCs/>
                <w:lang w:val="fr-FR"/>
              </w:rPr>
              <w:t xml:space="preserve"> afin de permettre aux participants de circuler aisément</w:t>
            </w:r>
          </w:p>
        </w:tc>
      </w:tr>
      <w:tr w:rsidR="00647D4F" w:rsidRPr="000B0A7D" w:rsidTr="00BF1C27">
        <w:trPr>
          <w:trHeight w:val="683"/>
        </w:trPr>
        <w:tc>
          <w:tcPr>
            <w:tcW w:w="2192" w:type="dxa"/>
          </w:tcPr>
          <w:p w:rsidR="00647D4F" w:rsidRPr="000B0A7D" w:rsidRDefault="00C9282E" w:rsidP="00BF1C27">
            <w:pPr>
              <w:spacing w:before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E554B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</w:tc>
        <w:tc>
          <w:tcPr>
            <w:tcW w:w="7618" w:type="dxa"/>
          </w:tcPr>
          <w:p w:rsidR="00647D4F" w:rsidRPr="000B0A7D" w:rsidRDefault="00C9282E" w:rsidP="00BF1C27">
            <w:pPr>
              <w:spacing w:before="120"/>
              <w:rPr>
                <w:rFonts w:ascii="Arial" w:hAnsi="Arial" w:cs="Arial"/>
                <w:bCs/>
                <w:lang w:val="en-GB"/>
              </w:rPr>
            </w:pPr>
            <w:r w:rsidRPr="009E554B">
              <w:rPr>
                <w:rFonts w:ascii="Arial" w:hAnsi="Arial" w:cs="Arial"/>
                <w:bCs/>
                <w:lang w:val="fr-FR"/>
              </w:rPr>
              <w:t>4 tableaux à feuilles mobiles et des marqueurs, un dans chaque salle d'atelier</w:t>
            </w:r>
            <w:r w:rsidR="00647D4F" w:rsidRPr="000B0A7D">
              <w:rPr>
                <w:rFonts w:ascii="Arial" w:hAnsi="Arial" w:cs="Arial"/>
                <w:bCs/>
                <w:lang w:val="en-GB"/>
              </w:rPr>
              <w:t xml:space="preserve"> </w:t>
            </w:r>
          </w:p>
        </w:tc>
      </w:tr>
      <w:tr w:rsidR="00647D4F" w:rsidRPr="000B0A7D" w:rsidTr="00BF1C27">
        <w:trPr>
          <w:trHeight w:val="683"/>
        </w:trPr>
        <w:tc>
          <w:tcPr>
            <w:tcW w:w="2192" w:type="dxa"/>
          </w:tcPr>
          <w:p w:rsidR="00647D4F" w:rsidRPr="000B0A7D" w:rsidRDefault="00C9282E" w:rsidP="00BF1C27">
            <w:pPr>
              <w:spacing w:before="120"/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9E554B">
              <w:rPr>
                <w:rFonts w:ascii="Arial" w:hAnsi="Arial" w:cs="Arial"/>
                <w:b/>
                <w:bCs/>
                <w:lang w:val="fr-FR"/>
              </w:rPr>
              <w:t>Autre support</w:t>
            </w:r>
          </w:p>
        </w:tc>
        <w:tc>
          <w:tcPr>
            <w:tcW w:w="7618" w:type="dxa"/>
          </w:tcPr>
          <w:p w:rsidR="00647D4F" w:rsidRPr="000B0A7D" w:rsidRDefault="00647D4F" w:rsidP="00BF1C27">
            <w:pPr>
              <w:spacing w:before="120"/>
              <w:rPr>
                <w:rFonts w:ascii="Arial" w:hAnsi="Arial" w:cs="Arial"/>
                <w:bCs/>
                <w:lang w:val="en-GB"/>
              </w:rPr>
            </w:pPr>
          </w:p>
        </w:tc>
      </w:tr>
    </w:tbl>
    <w:p w:rsidR="00647D4F" w:rsidRPr="000B0A7D" w:rsidRDefault="00647D4F" w:rsidP="00245908">
      <w:pPr>
        <w:jc w:val="both"/>
        <w:rPr>
          <w:rFonts w:ascii="Arial" w:hAnsi="Arial" w:cs="Arial"/>
          <w:b/>
          <w:bCs/>
          <w:lang w:val="en-GB"/>
        </w:rPr>
      </w:pPr>
    </w:p>
    <w:p w:rsidR="00647D4F" w:rsidRPr="000B0A7D" w:rsidRDefault="00C9282E" w:rsidP="00245908">
      <w:pPr>
        <w:tabs>
          <w:tab w:val="left" w:pos="720"/>
        </w:tabs>
        <w:jc w:val="both"/>
        <w:rPr>
          <w:rFonts w:ascii="Arial" w:hAnsi="Arial" w:cs="Arial"/>
          <w:color w:val="1F497D" w:themeColor="text2"/>
          <w:u w:val="single"/>
          <w:lang w:val="en-GB"/>
        </w:rPr>
      </w:pPr>
      <w:r w:rsidRPr="009E554B">
        <w:rPr>
          <w:rFonts w:ascii="Arial" w:hAnsi="Arial" w:cs="Arial"/>
          <w:b/>
          <w:bCs/>
          <w:color w:val="1F497D" w:themeColor="text2"/>
          <w:u w:val="single"/>
          <w:lang w:val="fr-FR"/>
        </w:rPr>
        <w:t>Objectif de l’activité</w:t>
      </w:r>
    </w:p>
    <w:p w:rsidR="00647D4F" w:rsidRPr="000B0A7D" w:rsidRDefault="00647D4F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647D4F" w:rsidRPr="000B0A7D" w:rsidRDefault="00C9282E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9E554B">
        <w:rPr>
          <w:rFonts w:ascii="Arial" w:hAnsi="Arial" w:cs="Arial"/>
          <w:lang w:val="fr-FR"/>
        </w:rPr>
        <w:t>L’étude de cas concerne une situation de discrimination à l'école.</w:t>
      </w:r>
      <w:r w:rsidR="00647D4F" w:rsidRPr="000B0A7D">
        <w:rPr>
          <w:rFonts w:ascii="Arial" w:hAnsi="Arial" w:cs="Arial"/>
          <w:lang w:val="en-GB"/>
        </w:rPr>
        <w:t xml:space="preserve"> </w:t>
      </w:r>
      <w:r w:rsidRPr="009E554B">
        <w:rPr>
          <w:rFonts w:ascii="Arial" w:hAnsi="Arial" w:cs="Arial"/>
          <w:lang w:val="fr-FR"/>
        </w:rPr>
        <w:t>La discrimination porte toujours atteinte aux droits de l’homme</w:t>
      </w:r>
      <w:r w:rsidR="009E554B" w:rsidRPr="009E554B">
        <w:rPr>
          <w:rFonts w:ascii="Arial" w:hAnsi="Arial" w:cs="Arial"/>
          <w:lang w:val="fr-FR"/>
        </w:rPr>
        <w:t xml:space="preserve">, entraînant </w:t>
      </w:r>
      <w:r w:rsidRPr="009E554B">
        <w:rPr>
          <w:rFonts w:ascii="Arial" w:hAnsi="Arial" w:cs="Arial"/>
          <w:lang w:val="fr-FR"/>
        </w:rPr>
        <w:t>de graves implications sur leur jouissance.</w:t>
      </w:r>
      <w:r w:rsidR="00647D4F" w:rsidRPr="000B0A7D">
        <w:rPr>
          <w:rFonts w:ascii="Arial" w:hAnsi="Arial" w:cs="Arial"/>
          <w:lang w:val="en-GB"/>
        </w:rPr>
        <w:t xml:space="preserve"> </w:t>
      </w:r>
      <w:r w:rsidR="007349E9" w:rsidRPr="009E554B">
        <w:rPr>
          <w:rFonts w:ascii="Arial" w:hAnsi="Arial" w:cs="Arial"/>
          <w:lang w:val="fr-FR"/>
        </w:rPr>
        <w:t>Les cas d’élèves brutalisant</w:t>
      </w:r>
      <w:r w:rsidRPr="009E554B">
        <w:rPr>
          <w:rFonts w:ascii="Arial" w:hAnsi="Arial" w:cs="Arial"/>
          <w:lang w:val="fr-FR"/>
        </w:rPr>
        <w:t xml:space="preserve"> d'autres élèves, notamment des élèves handicapés</w:t>
      </w:r>
      <w:r w:rsidR="007349E9" w:rsidRPr="009E554B">
        <w:rPr>
          <w:rFonts w:ascii="Arial" w:hAnsi="Arial" w:cs="Arial"/>
          <w:lang w:val="fr-FR"/>
        </w:rPr>
        <w:t>,</w:t>
      </w:r>
      <w:r w:rsidRPr="009E554B">
        <w:rPr>
          <w:rFonts w:ascii="Arial" w:hAnsi="Arial" w:cs="Arial"/>
          <w:lang w:val="fr-FR"/>
        </w:rPr>
        <w:t xml:space="preserve"> </w:t>
      </w:r>
      <w:r w:rsidR="007349E9" w:rsidRPr="009E554B">
        <w:rPr>
          <w:rFonts w:ascii="Arial" w:hAnsi="Arial" w:cs="Arial"/>
          <w:lang w:val="fr-FR"/>
        </w:rPr>
        <w:t>font parfois</w:t>
      </w:r>
      <w:r w:rsidRPr="009E554B">
        <w:rPr>
          <w:rFonts w:ascii="Arial" w:hAnsi="Arial" w:cs="Arial"/>
          <w:lang w:val="fr-FR"/>
        </w:rPr>
        <w:t xml:space="preserve"> l'actualité.</w:t>
      </w:r>
      <w:r w:rsidR="00647D4F" w:rsidRPr="000B0A7D">
        <w:rPr>
          <w:rFonts w:ascii="Arial" w:hAnsi="Arial" w:cs="Arial"/>
          <w:lang w:val="en-GB"/>
        </w:rPr>
        <w:t xml:space="preserve"> </w:t>
      </w:r>
      <w:r w:rsidRPr="009E554B">
        <w:rPr>
          <w:rFonts w:ascii="Arial" w:hAnsi="Arial" w:cs="Arial"/>
          <w:lang w:val="fr-FR"/>
        </w:rPr>
        <w:t>Il est probable que bon nombre ne sont pas rapportés et causent traumatisme et souffrance parmi les apprenants.</w:t>
      </w:r>
      <w:r w:rsidR="00647D4F" w:rsidRPr="000B0A7D">
        <w:rPr>
          <w:rFonts w:ascii="Arial" w:hAnsi="Arial" w:cs="Arial"/>
          <w:lang w:val="en-GB"/>
        </w:rPr>
        <w:t xml:space="preserve"> </w:t>
      </w:r>
      <w:r w:rsidR="007349E9" w:rsidRPr="009E554B">
        <w:rPr>
          <w:rFonts w:ascii="Arial" w:hAnsi="Arial" w:cs="Arial"/>
          <w:lang w:val="fr-FR"/>
        </w:rPr>
        <w:t>Un des principaux objectifs de l’éducation aux droits de l’homme, c’est de prendre en compte les comportements à un jeune âge et d'éviter les attitudes qui mènent à des divisions discriminatoires et à la ségrégation.</w:t>
      </w:r>
      <w:r w:rsidR="00647D4F" w:rsidRPr="000B0A7D">
        <w:rPr>
          <w:rFonts w:ascii="Arial" w:hAnsi="Arial" w:cs="Arial"/>
          <w:lang w:val="en-GB"/>
        </w:rPr>
        <w:t xml:space="preserve"> </w:t>
      </w:r>
    </w:p>
    <w:p w:rsidR="00647D4F" w:rsidRPr="000B0A7D" w:rsidRDefault="00647D4F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0B0A7D">
        <w:rPr>
          <w:rFonts w:ascii="Arial" w:hAnsi="Arial" w:cs="Arial"/>
          <w:lang w:val="en-GB"/>
        </w:rPr>
        <w:t xml:space="preserve"> </w:t>
      </w:r>
    </w:p>
    <w:p w:rsidR="00647D4F" w:rsidRPr="000B0A7D" w:rsidRDefault="007349E9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9E554B">
        <w:rPr>
          <w:rFonts w:ascii="Arial" w:hAnsi="Arial" w:cs="Arial"/>
          <w:lang w:val="fr-FR"/>
        </w:rPr>
        <w:t>L'exercice se concentre sur le rôle spécifique de la Convention relative aux droits des personnes handicapées</w:t>
      </w:r>
      <w:r w:rsidR="009E554B" w:rsidRPr="009E554B">
        <w:rPr>
          <w:rFonts w:ascii="Arial" w:hAnsi="Arial" w:cs="Arial"/>
          <w:lang w:val="fr-FR"/>
        </w:rPr>
        <w:t>. Celle-ci</w:t>
      </w:r>
      <w:r w:rsidRPr="009E554B">
        <w:rPr>
          <w:rFonts w:ascii="Arial" w:hAnsi="Arial" w:cs="Arial"/>
          <w:lang w:val="fr-FR"/>
        </w:rPr>
        <w:t xml:space="preserve"> donne le pouvoir d’agir aux personnes discriminées </w:t>
      </w:r>
      <w:r w:rsidR="009E554B" w:rsidRPr="009E554B">
        <w:rPr>
          <w:rFonts w:ascii="Arial" w:hAnsi="Arial" w:cs="Arial"/>
          <w:lang w:val="fr-FR"/>
        </w:rPr>
        <w:t>en raison d’un</w:t>
      </w:r>
      <w:r w:rsidRPr="009E554B">
        <w:rPr>
          <w:rFonts w:ascii="Arial" w:hAnsi="Arial" w:cs="Arial"/>
          <w:lang w:val="fr-FR"/>
        </w:rPr>
        <w:t xml:space="preserve"> handicap – dans le cas présent Margarita et ses parents – et réaffirme la responsabilité de l'Etat, dans le secteur privé comme </w:t>
      </w:r>
      <w:r w:rsidR="009E554B" w:rsidRPr="009E554B">
        <w:rPr>
          <w:rFonts w:ascii="Arial" w:hAnsi="Arial" w:cs="Arial"/>
          <w:lang w:val="fr-FR"/>
        </w:rPr>
        <w:t xml:space="preserve">dans le secteur </w:t>
      </w:r>
      <w:r w:rsidR="00930C7C">
        <w:rPr>
          <w:rFonts w:ascii="Arial" w:hAnsi="Arial" w:cs="Arial"/>
          <w:lang w:val="fr-FR"/>
        </w:rPr>
        <w:t>public, grâce à</w:t>
      </w:r>
      <w:r w:rsidRPr="009E554B">
        <w:rPr>
          <w:rFonts w:ascii="Arial" w:hAnsi="Arial" w:cs="Arial"/>
          <w:lang w:val="fr-FR"/>
        </w:rPr>
        <w:t xml:space="preserve"> des efforts </w:t>
      </w:r>
      <w:r w:rsidR="009E554B" w:rsidRPr="009E554B">
        <w:rPr>
          <w:rFonts w:ascii="Arial" w:hAnsi="Arial" w:cs="Arial"/>
          <w:lang w:val="fr-FR"/>
        </w:rPr>
        <w:t xml:space="preserve">à la fois </w:t>
      </w:r>
      <w:r w:rsidRPr="009E554B">
        <w:rPr>
          <w:rFonts w:ascii="Arial" w:hAnsi="Arial" w:cs="Arial"/>
          <w:lang w:val="fr-FR"/>
        </w:rPr>
        <w:t>d</w:t>
      </w:r>
      <w:r w:rsidR="00542ED0" w:rsidRPr="009E554B">
        <w:rPr>
          <w:rFonts w:ascii="Arial" w:hAnsi="Arial" w:cs="Arial"/>
          <w:lang w:val="fr-FR"/>
        </w:rPr>
        <w:t>e prévention et de réparation</w:t>
      </w:r>
      <w:r w:rsidRPr="009E554B">
        <w:rPr>
          <w:rFonts w:ascii="Arial" w:hAnsi="Arial" w:cs="Arial"/>
          <w:lang w:val="fr-FR"/>
        </w:rPr>
        <w:t>.</w:t>
      </w:r>
    </w:p>
    <w:p w:rsidR="00647D4F" w:rsidRPr="000B0A7D" w:rsidRDefault="00647D4F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647D4F" w:rsidRPr="000B0A7D" w:rsidRDefault="007349E9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9E554B">
        <w:rPr>
          <w:rFonts w:ascii="Arial" w:hAnsi="Arial" w:cs="Arial"/>
          <w:lang w:val="fr-FR"/>
        </w:rPr>
        <w:t xml:space="preserve">La situation montre la confrontation entre une certaine mentalité et un modèle social fondé sur l'éducation </w:t>
      </w:r>
      <w:r w:rsidR="009E554B">
        <w:rPr>
          <w:rFonts w:ascii="Arial" w:hAnsi="Arial" w:cs="Arial"/>
          <w:lang w:val="fr-FR"/>
        </w:rPr>
        <w:t>indifférenciée</w:t>
      </w:r>
      <w:r w:rsidRPr="009E554B">
        <w:rPr>
          <w:rFonts w:ascii="Arial" w:hAnsi="Arial" w:cs="Arial"/>
          <w:lang w:val="fr-FR"/>
        </w:rPr>
        <w:t xml:space="preserve"> et la solidarité.</w:t>
      </w:r>
      <w:r w:rsidR="00647D4F" w:rsidRPr="000B0A7D">
        <w:rPr>
          <w:rFonts w:ascii="Arial" w:hAnsi="Arial" w:cs="Arial"/>
          <w:lang w:val="en-GB"/>
        </w:rPr>
        <w:t xml:space="preserve"> </w:t>
      </w:r>
    </w:p>
    <w:p w:rsidR="00647D4F" w:rsidRPr="000B0A7D" w:rsidRDefault="00647D4F" w:rsidP="0024590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0B0A7D">
        <w:rPr>
          <w:rFonts w:ascii="Arial" w:hAnsi="Arial" w:cs="Arial"/>
          <w:lang w:val="en-GB"/>
        </w:rPr>
        <w:t xml:space="preserve"> </w:t>
      </w:r>
    </w:p>
    <w:p w:rsidR="00647D4F" w:rsidRPr="000B0A7D" w:rsidRDefault="007349E9" w:rsidP="00245908">
      <w:pPr>
        <w:tabs>
          <w:tab w:val="left" w:pos="720"/>
        </w:tabs>
        <w:jc w:val="both"/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9E554B">
        <w:rPr>
          <w:rFonts w:ascii="Arial" w:hAnsi="Arial" w:cs="Arial"/>
          <w:b/>
          <w:bCs/>
          <w:color w:val="1F497D" w:themeColor="text2"/>
          <w:u w:val="single"/>
          <w:lang w:val="fr-FR"/>
        </w:rPr>
        <w:t>Dynamique, rôles et temps nécessaire</w:t>
      </w:r>
    </w:p>
    <w:p w:rsidR="00647D4F" w:rsidRPr="000B0A7D" w:rsidRDefault="00647D4F" w:rsidP="00245908">
      <w:pPr>
        <w:tabs>
          <w:tab w:val="left" w:pos="720"/>
        </w:tabs>
        <w:ind w:left="540"/>
        <w:jc w:val="both"/>
        <w:rPr>
          <w:rFonts w:ascii="Arial" w:hAnsi="Arial" w:cs="Arial"/>
          <w:b/>
          <w:lang w:val="en-GB"/>
        </w:rPr>
      </w:pPr>
      <w:r w:rsidRPr="000B0A7D">
        <w:rPr>
          <w:rFonts w:ascii="Arial" w:hAnsi="Arial" w:cs="Arial"/>
          <w:b/>
          <w:bCs/>
          <w:lang w:val="en-GB"/>
        </w:rPr>
        <w:t xml:space="preserve"> </w:t>
      </w:r>
    </w:p>
    <w:p w:rsidR="00647D4F" w:rsidRPr="000B0A7D" w:rsidRDefault="007349E9" w:rsidP="00245908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9E554B">
        <w:rPr>
          <w:rFonts w:ascii="Arial" w:hAnsi="Arial" w:cs="Arial"/>
          <w:bCs/>
          <w:lang w:val="fr-FR"/>
        </w:rPr>
        <w:t xml:space="preserve">L’animateur explique l’activité à l’auditoire (objectif, dynamique, etc.) dans la salle de réunion et divise ensuite l'auditoire en </w:t>
      </w:r>
      <w:r w:rsidRPr="009E554B">
        <w:rPr>
          <w:rFonts w:ascii="Arial" w:hAnsi="Arial" w:cs="Arial"/>
          <w:bCs/>
          <w:i/>
          <w:lang w:val="fr-FR"/>
        </w:rPr>
        <w:t>quatre groupes de travail</w:t>
      </w:r>
      <w:r w:rsidRPr="009E554B">
        <w:rPr>
          <w:rFonts w:ascii="Arial" w:hAnsi="Arial" w:cs="Arial"/>
          <w:bCs/>
          <w:lang w:val="fr-FR"/>
        </w:rPr>
        <w:t xml:space="preserve"> et les envoie chacun dans une salle d'atelier (5 mn).</w:t>
      </w:r>
    </w:p>
    <w:p w:rsidR="00647D4F" w:rsidRPr="000B0A7D" w:rsidRDefault="007349E9" w:rsidP="00245908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9E554B">
        <w:rPr>
          <w:rFonts w:ascii="Arial" w:hAnsi="Arial" w:cs="Arial"/>
          <w:bCs/>
          <w:lang w:val="fr-FR"/>
        </w:rPr>
        <w:t>Tous les participants prennent connaissance de l’étude de cas et se focalisent sur les points fondamentaux (5 mn).</w:t>
      </w:r>
    </w:p>
    <w:p w:rsidR="00647D4F" w:rsidRPr="000B0A7D" w:rsidRDefault="007349E9" w:rsidP="00245908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9E554B">
        <w:rPr>
          <w:rFonts w:ascii="Arial" w:hAnsi="Arial" w:cs="Arial"/>
          <w:bCs/>
          <w:lang w:val="fr-FR"/>
        </w:rPr>
        <w:t>Chaque groupe de travail nomme un rapporteur et répond aux questions (20 mn).</w:t>
      </w:r>
    </w:p>
    <w:p w:rsidR="00647D4F" w:rsidRPr="000B0A7D" w:rsidRDefault="009E554B" w:rsidP="00245908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9E554B">
        <w:rPr>
          <w:rFonts w:ascii="Arial" w:hAnsi="Arial" w:cs="Arial"/>
          <w:bCs/>
          <w:lang w:val="fr-FR"/>
        </w:rPr>
        <w:t xml:space="preserve">Retour en séance </w:t>
      </w:r>
      <w:r w:rsidR="00930C7C" w:rsidRPr="009E554B">
        <w:rPr>
          <w:rFonts w:ascii="Arial" w:hAnsi="Arial" w:cs="Arial"/>
          <w:bCs/>
          <w:lang w:val="fr-FR"/>
        </w:rPr>
        <w:t>plénière :</w:t>
      </w:r>
      <w:r w:rsidR="00647D4F" w:rsidRPr="000B0A7D">
        <w:rPr>
          <w:rFonts w:ascii="Arial" w:hAnsi="Arial" w:cs="Arial"/>
          <w:bCs/>
          <w:lang w:val="en-GB"/>
        </w:rPr>
        <w:t xml:space="preserve"> </w:t>
      </w:r>
      <w:r w:rsidR="007349E9" w:rsidRPr="009E554B">
        <w:rPr>
          <w:rFonts w:ascii="Arial" w:hAnsi="Arial" w:cs="Arial"/>
          <w:bCs/>
          <w:lang w:val="fr-FR"/>
        </w:rPr>
        <w:t>chaque rapporteur répond à une question, tandis que les autres rapporteurs ajoutent des éléments ou procèdent à une analyse plus approfondie ; l’animateur résume les points principaux sur un tableau à feuilles mobiles (20 mn).</w:t>
      </w:r>
    </w:p>
    <w:p w:rsidR="00647D4F" w:rsidRPr="000B0A7D" w:rsidRDefault="00930C7C" w:rsidP="00245908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Cs/>
          <w:lang w:val="fr-FR"/>
        </w:rPr>
        <w:t>Bilan</w:t>
      </w:r>
      <w:r w:rsidR="00A46AF9" w:rsidRPr="009E554B">
        <w:rPr>
          <w:rFonts w:ascii="Arial" w:hAnsi="Arial" w:cs="Arial"/>
          <w:bCs/>
          <w:lang w:val="fr-FR"/>
        </w:rPr>
        <w:t xml:space="preserve"> et commentaires sur l'efficacité de l'activité ou ses possibles améliorations (5 mn).</w:t>
      </w:r>
      <w:r w:rsidR="00647D4F" w:rsidRPr="000B0A7D">
        <w:rPr>
          <w:rFonts w:ascii="Arial" w:hAnsi="Arial" w:cs="Arial"/>
          <w:bCs/>
          <w:lang w:val="en-GB"/>
        </w:rPr>
        <w:t xml:space="preserve"> </w:t>
      </w:r>
    </w:p>
    <w:p w:rsidR="00647D4F" w:rsidRDefault="00647D4F" w:rsidP="00245908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930C7C" w:rsidRDefault="00930C7C" w:rsidP="00245908">
      <w:p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</w:p>
    <w:p w:rsidR="001811FE" w:rsidRPr="000B0A7D" w:rsidRDefault="00A46AF9" w:rsidP="00245908">
      <w:pPr>
        <w:tabs>
          <w:tab w:val="left" w:pos="720"/>
        </w:tabs>
        <w:jc w:val="both"/>
        <w:rPr>
          <w:rFonts w:ascii="Arial" w:hAnsi="Arial" w:cs="Arial"/>
          <w:b/>
          <w:color w:val="1F497D" w:themeColor="text2"/>
          <w:u w:val="single"/>
          <w:lang w:val="en-GB"/>
        </w:rPr>
      </w:pPr>
      <w:bookmarkStart w:id="0" w:name="_GoBack"/>
      <w:bookmarkEnd w:id="0"/>
      <w:r w:rsidRPr="009E554B">
        <w:rPr>
          <w:rFonts w:ascii="Arial" w:hAnsi="Arial" w:cs="Arial"/>
          <w:b/>
          <w:bCs/>
          <w:color w:val="1F497D" w:themeColor="text2"/>
          <w:u w:val="single"/>
          <w:lang w:val="fr-FR"/>
        </w:rPr>
        <w:lastRenderedPageBreak/>
        <w:t>Conseils à l’intention de l’animateur</w:t>
      </w:r>
    </w:p>
    <w:p w:rsidR="00647D4F" w:rsidRPr="000B0A7D" w:rsidRDefault="009E554B" w:rsidP="00245908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 xml:space="preserve">Lorsque nous l'avons expérimentée, </w:t>
      </w:r>
      <w:r w:rsidR="00A46AF9" w:rsidRPr="009E554B">
        <w:rPr>
          <w:rFonts w:ascii="Arial" w:hAnsi="Arial" w:cs="Arial"/>
          <w:iCs/>
          <w:color w:val="000000"/>
          <w:lang w:val="fr-FR"/>
        </w:rPr>
        <w:t xml:space="preserve">nous avons noté que cette étude de cas était difficilement adaptable à certains contextes, en particulier les pays </w:t>
      </w:r>
      <w:r w:rsidRPr="009E554B">
        <w:rPr>
          <w:rFonts w:ascii="Arial" w:hAnsi="Arial" w:cs="Arial"/>
          <w:iCs/>
          <w:color w:val="000000"/>
          <w:lang w:val="fr-FR"/>
        </w:rPr>
        <w:t xml:space="preserve">les </w:t>
      </w:r>
      <w:r w:rsidR="00A46AF9" w:rsidRPr="009E554B">
        <w:rPr>
          <w:rFonts w:ascii="Arial" w:hAnsi="Arial" w:cs="Arial"/>
          <w:iCs/>
          <w:color w:val="000000"/>
          <w:lang w:val="fr-FR"/>
        </w:rPr>
        <w:t>moins développés.</w:t>
      </w:r>
      <w:r w:rsidR="000B0A7D">
        <w:rPr>
          <w:rFonts w:ascii="Arial" w:hAnsi="Arial" w:cs="Arial"/>
          <w:iCs/>
          <w:color w:val="000000"/>
          <w:lang w:val="en-GB"/>
        </w:rPr>
        <w:t xml:space="preserve"> </w:t>
      </w:r>
      <w:r w:rsidR="00A46AF9" w:rsidRPr="009E554B">
        <w:rPr>
          <w:rFonts w:ascii="Arial" w:hAnsi="Arial" w:cs="Arial"/>
          <w:iCs/>
          <w:color w:val="000000"/>
          <w:lang w:val="fr-FR"/>
        </w:rPr>
        <w:t>P</w:t>
      </w:r>
      <w:r w:rsidRPr="009E554B">
        <w:rPr>
          <w:rFonts w:ascii="Arial" w:hAnsi="Arial" w:cs="Arial"/>
          <w:iCs/>
          <w:color w:val="000000"/>
          <w:lang w:val="fr-FR"/>
        </w:rPr>
        <w:t>ar conséquent, l'animateur devra peut-être</w:t>
      </w:r>
      <w:r w:rsidR="00A46AF9" w:rsidRPr="009E554B">
        <w:rPr>
          <w:rFonts w:ascii="Arial" w:hAnsi="Arial" w:cs="Arial"/>
          <w:iCs/>
          <w:color w:val="000000"/>
          <w:lang w:val="fr-FR"/>
        </w:rPr>
        <w:t xml:space="preserve"> développer une étude de cas différente qui s'applique au contexte.</w:t>
      </w:r>
    </w:p>
    <w:p w:rsidR="00FF4362" w:rsidRDefault="00FF4362" w:rsidP="00245908">
      <w:pPr>
        <w:spacing w:before="120"/>
        <w:jc w:val="both"/>
        <w:rPr>
          <w:rFonts w:ascii="Arial" w:hAnsi="Arial" w:cs="Arial"/>
          <w:b/>
          <w:iCs/>
          <w:color w:val="1F497D" w:themeColor="text2"/>
          <w:u w:val="single"/>
          <w:lang w:val="en-GB"/>
        </w:rPr>
      </w:pPr>
    </w:p>
    <w:p w:rsidR="00647D4F" w:rsidRPr="000B0A7D" w:rsidRDefault="00A46AF9" w:rsidP="00245908">
      <w:pPr>
        <w:spacing w:before="120"/>
        <w:jc w:val="both"/>
        <w:rPr>
          <w:rFonts w:ascii="Arial" w:hAnsi="Arial" w:cs="Arial"/>
          <w:b/>
          <w:iCs/>
          <w:color w:val="1F497D" w:themeColor="text2"/>
          <w:u w:val="single"/>
          <w:lang w:val="en-GB"/>
        </w:rPr>
      </w:pPr>
      <w:r w:rsidRPr="009E554B">
        <w:rPr>
          <w:rFonts w:ascii="Arial" w:hAnsi="Arial" w:cs="Arial"/>
          <w:b/>
          <w:iCs/>
          <w:color w:val="1F497D" w:themeColor="text2"/>
          <w:u w:val="single"/>
          <w:lang w:val="fr-FR"/>
        </w:rPr>
        <w:t>ETUDE DE CAS</w:t>
      </w:r>
    </w:p>
    <w:p w:rsidR="00647D4F" w:rsidRPr="000B0A7D" w:rsidRDefault="00A46AF9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 xml:space="preserve">Margarita est une élève </w:t>
      </w:r>
      <w:r w:rsidR="009E554B" w:rsidRPr="009E554B">
        <w:rPr>
          <w:rFonts w:ascii="Arial" w:hAnsi="Arial" w:cs="Arial"/>
          <w:iCs/>
          <w:color w:val="000000"/>
          <w:lang w:val="fr-FR"/>
        </w:rPr>
        <w:t>âgée de 14 ans, ayant un</w:t>
      </w:r>
      <w:r w:rsidRPr="009E554B">
        <w:rPr>
          <w:rFonts w:ascii="Arial" w:hAnsi="Arial" w:cs="Arial"/>
          <w:iCs/>
          <w:color w:val="000000"/>
          <w:lang w:val="fr-FR"/>
        </w:rPr>
        <w:t xml:space="preserve"> handicap intellectuel.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C’est une enfant quechua et sa famille est très pauvre.</w:t>
      </w:r>
      <w:r w:rsid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Elle</w:t>
      </w:r>
      <w:r w:rsidR="00542ED0" w:rsidRPr="009E554B">
        <w:rPr>
          <w:rFonts w:ascii="Arial" w:hAnsi="Arial" w:cs="Arial"/>
          <w:iCs/>
          <w:color w:val="000000"/>
          <w:lang w:val="fr-FR"/>
        </w:rPr>
        <w:t xml:space="preserve"> a reçu une bourse d’études de cinq</w:t>
      </w:r>
      <w:r w:rsidRPr="009E554B">
        <w:rPr>
          <w:rFonts w:ascii="Arial" w:hAnsi="Arial" w:cs="Arial"/>
          <w:iCs/>
          <w:color w:val="000000"/>
          <w:lang w:val="fr-FR"/>
        </w:rPr>
        <w:t xml:space="preserve"> ans</w:t>
      </w:r>
      <w:r w:rsidR="009E554B" w:rsidRPr="009E554B">
        <w:rPr>
          <w:rFonts w:ascii="Arial" w:hAnsi="Arial" w:cs="Arial"/>
          <w:iCs/>
          <w:color w:val="000000"/>
          <w:lang w:val="fr-FR"/>
        </w:rPr>
        <w:t>,</w:t>
      </w:r>
      <w:r w:rsidRPr="009E554B">
        <w:rPr>
          <w:rFonts w:ascii="Arial" w:hAnsi="Arial" w:cs="Arial"/>
          <w:iCs/>
          <w:color w:val="000000"/>
          <w:lang w:val="fr-FR"/>
        </w:rPr>
        <w:t xml:space="preserve"> de la part du Conseil municipal autochtone.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="00572C67" w:rsidRPr="009E554B">
        <w:rPr>
          <w:rFonts w:ascii="Arial" w:hAnsi="Arial" w:cs="Arial"/>
          <w:iCs/>
          <w:color w:val="000000"/>
          <w:lang w:val="fr-FR"/>
        </w:rPr>
        <w:t>Elle fréquente l'école avec les autres élèves.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>Ceux-ci, principalement des enfants de milieux plus aisés, se moquent parfois de Margarita à cause de son accent ou des fautes qu'elle fait en classe.</w:t>
      </w:r>
      <w:r w:rsidR="001811FE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Un des enseignants de Margarita a soulevé la question du comporteme</w:t>
      </w:r>
      <w:r w:rsidR="00542ED0" w:rsidRPr="009E554B">
        <w:rPr>
          <w:rFonts w:ascii="Arial" w:hAnsi="Arial" w:cs="Arial"/>
          <w:iCs/>
          <w:color w:val="000000"/>
          <w:lang w:val="fr-FR"/>
        </w:rPr>
        <w:t xml:space="preserve">nt des enfants envers Margarita, </w:t>
      </w:r>
      <w:r w:rsidRPr="009E554B">
        <w:rPr>
          <w:rFonts w:ascii="Arial" w:hAnsi="Arial" w:cs="Arial"/>
          <w:iCs/>
          <w:color w:val="000000"/>
          <w:lang w:val="fr-FR"/>
        </w:rPr>
        <w:t>à plusieurs reprises</w:t>
      </w:r>
      <w:r w:rsidR="00542ED0" w:rsidRPr="009E554B">
        <w:rPr>
          <w:rFonts w:ascii="Arial" w:hAnsi="Arial" w:cs="Arial"/>
          <w:iCs/>
          <w:color w:val="000000"/>
          <w:lang w:val="fr-FR"/>
        </w:rPr>
        <w:t>,</w:t>
      </w:r>
      <w:r w:rsidRPr="009E554B">
        <w:rPr>
          <w:rFonts w:ascii="Arial" w:hAnsi="Arial" w:cs="Arial"/>
          <w:iCs/>
          <w:color w:val="000000"/>
          <w:lang w:val="fr-FR"/>
        </w:rPr>
        <w:t xml:space="preserve"> lors des réunions hebdomadaires du personnel enseignant, y compris en présence du directeur, mais aucune mesure n'a été prise.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>La semaine dernière, lors d’une pause, plusieurs filles o</w:t>
      </w:r>
      <w:r w:rsidR="00542ED0" w:rsidRPr="009E554B">
        <w:rPr>
          <w:rFonts w:ascii="Arial" w:hAnsi="Arial" w:cs="Arial"/>
          <w:iCs/>
          <w:color w:val="000000"/>
          <w:lang w:val="fr-FR"/>
        </w:rPr>
        <w:t>nt coincé Margarita dans un angle de la cour</w:t>
      </w:r>
      <w:r w:rsidRPr="009E554B">
        <w:rPr>
          <w:rFonts w:ascii="Arial" w:hAnsi="Arial" w:cs="Arial"/>
          <w:iCs/>
          <w:color w:val="000000"/>
          <w:lang w:val="fr-FR"/>
        </w:rPr>
        <w:t xml:space="preserve"> et lui ont arraché son sac à dos, lui ont pr</w:t>
      </w:r>
      <w:r w:rsidR="009E554B" w:rsidRPr="009E554B">
        <w:rPr>
          <w:rFonts w:ascii="Arial" w:hAnsi="Arial" w:cs="Arial"/>
          <w:iCs/>
          <w:color w:val="000000"/>
          <w:lang w:val="fr-FR"/>
        </w:rPr>
        <w:t xml:space="preserve">is son déjeuner et ont jeté son </w:t>
      </w:r>
      <w:r w:rsidRPr="009E554B">
        <w:rPr>
          <w:rFonts w:ascii="Arial" w:hAnsi="Arial" w:cs="Arial"/>
          <w:iCs/>
          <w:color w:val="000000"/>
          <w:lang w:val="fr-FR"/>
        </w:rPr>
        <w:t>sac à terre.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En réaction, Margarita a poussé une des filles qui est tombé</w:t>
      </w:r>
      <w:r w:rsidR="00542ED0" w:rsidRPr="009E554B">
        <w:rPr>
          <w:rFonts w:ascii="Arial" w:hAnsi="Arial" w:cs="Arial"/>
          <w:iCs/>
          <w:color w:val="000000"/>
          <w:lang w:val="fr-FR"/>
        </w:rPr>
        <w:t>e</w:t>
      </w:r>
      <w:r w:rsidRPr="009E554B">
        <w:rPr>
          <w:rFonts w:ascii="Arial" w:hAnsi="Arial" w:cs="Arial"/>
          <w:iCs/>
          <w:color w:val="000000"/>
          <w:lang w:val="fr-FR"/>
        </w:rPr>
        <w:t xml:space="preserve"> et s'est éraflé le genou qui saignait.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Ce n’était pas la première fois</w:t>
      </w:r>
      <w:r w:rsidR="009E554B" w:rsidRPr="009E554B">
        <w:rPr>
          <w:rFonts w:ascii="Arial" w:hAnsi="Arial" w:cs="Arial"/>
          <w:iCs/>
          <w:color w:val="000000"/>
          <w:lang w:val="fr-FR"/>
        </w:rPr>
        <w:t xml:space="preserve"> qu’il y avait une altercation qui impliquait </w:t>
      </w:r>
      <w:r w:rsidRPr="009E554B">
        <w:rPr>
          <w:rFonts w:ascii="Arial" w:hAnsi="Arial" w:cs="Arial"/>
          <w:iCs/>
          <w:color w:val="000000"/>
          <w:lang w:val="fr-FR"/>
        </w:rPr>
        <w:t>Margarita</w:t>
      </w:r>
      <w:r w:rsidR="009E554B" w:rsidRPr="009E554B">
        <w:rPr>
          <w:rFonts w:ascii="Arial" w:hAnsi="Arial" w:cs="Arial"/>
          <w:iCs/>
          <w:color w:val="000000"/>
          <w:lang w:val="fr-FR"/>
        </w:rPr>
        <w:t>.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>Les parents de la fille blessée et les familles des autres enfants sont venus trouver le directeur pour se plaindre de l’épisode</w:t>
      </w:r>
      <w:r w:rsidR="00542ED0" w:rsidRPr="009E554B">
        <w:rPr>
          <w:rFonts w:ascii="Arial" w:hAnsi="Arial" w:cs="Arial"/>
          <w:iCs/>
          <w:color w:val="000000"/>
          <w:lang w:val="fr-FR"/>
        </w:rPr>
        <w:t>,</w:t>
      </w:r>
      <w:r w:rsidRPr="009E554B">
        <w:rPr>
          <w:rFonts w:ascii="Arial" w:hAnsi="Arial" w:cs="Arial"/>
          <w:iCs/>
          <w:color w:val="000000"/>
          <w:lang w:val="fr-FR"/>
        </w:rPr>
        <w:t xml:space="preserve"> en demandant que Margarita soit scolarisée ailleurs</w:t>
      </w:r>
      <w:r w:rsidR="009E554B" w:rsidRPr="009E554B">
        <w:rPr>
          <w:rFonts w:ascii="Arial" w:hAnsi="Arial" w:cs="Arial"/>
          <w:iCs/>
          <w:color w:val="000000"/>
          <w:lang w:val="fr-FR"/>
        </w:rPr>
        <w:t>, au motif</w:t>
      </w:r>
      <w:r w:rsidRPr="009E554B">
        <w:rPr>
          <w:rFonts w:ascii="Arial" w:hAnsi="Arial" w:cs="Arial"/>
          <w:iCs/>
          <w:color w:val="000000"/>
          <w:lang w:val="fr-FR"/>
        </w:rPr>
        <w:t xml:space="preserve"> qu’elle était un danger pour les autres.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Les parents de la fille blessée ont aussi menacé de changer leurs enfants d'école</w:t>
      </w:r>
      <w:r w:rsidR="009E554B" w:rsidRPr="009E554B">
        <w:rPr>
          <w:rFonts w:ascii="Arial" w:hAnsi="Arial" w:cs="Arial"/>
          <w:iCs/>
          <w:color w:val="000000"/>
          <w:lang w:val="fr-FR"/>
        </w:rPr>
        <w:t>, et de le faire savoir</w:t>
      </w:r>
      <w:r w:rsidR="00542ED0" w:rsidRPr="009E554B">
        <w:rPr>
          <w:rFonts w:ascii="Arial" w:hAnsi="Arial" w:cs="Arial"/>
          <w:iCs/>
          <w:color w:val="000000"/>
          <w:lang w:val="fr-FR"/>
        </w:rPr>
        <w:t>,</w:t>
      </w:r>
      <w:r w:rsidRPr="009E554B">
        <w:rPr>
          <w:rFonts w:ascii="Arial" w:hAnsi="Arial" w:cs="Arial"/>
          <w:iCs/>
          <w:color w:val="000000"/>
          <w:lang w:val="fr-FR"/>
        </w:rPr>
        <w:t xml:space="preserve"> si le directeur ne satisfaisait pas </w:t>
      </w:r>
      <w:r w:rsidR="009E554B" w:rsidRPr="009E554B">
        <w:rPr>
          <w:rFonts w:ascii="Arial" w:hAnsi="Arial" w:cs="Arial"/>
          <w:iCs/>
          <w:color w:val="000000"/>
          <w:lang w:val="fr-FR"/>
        </w:rPr>
        <w:t xml:space="preserve">à </w:t>
      </w:r>
      <w:r w:rsidRPr="009E554B">
        <w:rPr>
          <w:rFonts w:ascii="Arial" w:hAnsi="Arial" w:cs="Arial"/>
          <w:iCs/>
          <w:color w:val="000000"/>
          <w:lang w:val="fr-FR"/>
        </w:rPr>
        <w:t>leur demande.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 xml:space="preserve">Le directeur a convoqué les parents de Margarita et leur a dit que leur fille, à maintes reprises, avait causé des problèmes, que les choses avaient pris un nouveau tour et qu'il devait prendre des </w:t>
      </w:r>
      <w:r w:rsidR="00930C7C" w:rsidRPr="009E554B">
        <w:rPr>
          <w:rFonts w:ascii="Arial" w:hAnsi="Arial" w:cs="Arial"/>
          <w:iCs/>
          <w:color w:val="000000"/>
          <w:lang w:val="fr-FR"/>
        </w:rPr>
        <w:t>mesures ;</w:t>
      </w:r>
      <w:r w:rsidRPr="009E554B">
        <w:rPr>
          <w:rFonts w:ascii="Arial" w:hAnsi="Arial" w:cs="Arial"/>
          <w:iCs/>
          <w:color w:val="000000"/>
          <w:lang w:val="fr-FR"/>
        </w:rPr>
        <w:t xml:space="preserve"> la situation était très tendue et la présence de Margarita dans la classe n'était pas souhaitable pour elle et ne ferait qu’envenimer la situation.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 xml:space="preserve">Il les a invités à mettre leur fille dans une école spécialisée en </w:t>
      </w:r>
      <w:r w:rsidR="00930C7C" w:rsidRPr="009E554B">
        <w:rPr>
          <w:rFonts w:ascii="Arial" w:hAnsi="Arial" w:cs="Arial"/>
          <w:iCs/>
          <w:color w:val="000000"/>
          <w:lang w:val="fr-FR"/>
        </w:rPr>
        <w:t>ville ;</w:t>
      </w:r>
      <w:r w:rsidRPr="009E554B">
        <w:rPr>
          <w:rFonts w:ascii="Arial" w:hAnsi="Arial" w:cs="Arial"/>
          <w:iCs/>
          <w:color w:val="000000"/>
          <w:lang w:val="fr-FR"/>
        </w:rPr>
        <w:t xml:space="preserve"> il a ajouté qu'il connaissait l'institution et qu'il pourrait les aider, notamment en s'assurant qu'elle ne perde pas sa bourse.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  <w:r w:rsidRPr="009E554B">
        <w:rPr>
          <w:rFonts w:ascii="Arial" w:hAnsi="Arial" w:cs="Arial"/>
          <w:iCs/>
          <w:color w:val="000000"/>
          <w:lang w:val="fr-FR"/>
        </w:rPr>
        <w:t>Il a déclaré que d'autres enfants handicapés, notamment de culture quechua, étaient inscrits à l'école spéci</w:t>
      </w:r>
      <w:r w:rsidR="00524709">
        <w:rPr>
          <w:rFonts w:ascii="Arial" w:hAnsi="Arial" w:cs="Arial"/>
          <w:iCs/>
          <w:color w:val="000000"/>
          <w:lang w:val="fr-FR"/>
        </w:rPr>
        <w:t xml:space="preserve">alisée ; il a aussi ajouté qu’à </w:t>
      </w:r>
      <w:r w:rsidRPr="009E554B">
        <w:rPr>
          <w:rFonts w:ascii="Arial" w:hAnsi="Arial" w:cs="Arial"/>
          <w:iCs/>
          <w:color w:val="000000"/>
          <w:lang w:val="fr-FR"/>
        </w:rPr>
        <w:t>ce stade, ça ne servait à rien d’inscrire Margarita au sein du système éducatif normal car, avec ce qui s'était passé</w:t>
      </w:r>
      <w:r w:rsidR="00542ED0" w:rsidRPr="009E554B">
        <w:rPr>
          <w:rFonts w:ascii="Arial" w:hAnsi="Arial" w:cs="Arial"/>
          <w:iCs/>
          <w:color w:val="000000"/>
          <w:lang w:val="fr-FR"/>
        </w:rPr>
        <w:t xml:space="preserve">, aucun </w:t>
      </w:r>
      <w:r w:rsidR="00524709">
        <w:rPr>
          <w:rFonts w:ascii="Arial" w:hAnsi="Arial" w:cs="Arial"/>
          <w:iCs/>
          <w:color w:val="000000"/>
          <w:lang w:val="fr-FR"/>
        </w:rPr>
        <w:t>directeur ne voudrait d’elle</w:t>
      </w:r>
      <w:r w:rsidR="00542ED0" w:rsidRPr="009E554B">
        <w:rPr>
          <w:rFonts w:ascii="Arial" w:hAnsi="Arial" w:cs="Arial"/>
          <w:iCs/>
          <w:color w:val="000000"/>
          <w:lang w:val="fr-FR"/>
        </w:rPr>
        <w:t>.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>Les parents ont accepté la proposition du directeur et Margarita est partie dans une institution spécialisée.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</w:p>
    <w:p w:rsidR="00647D4F" w:rsidRPr="000B0A7D" w:rsidRDefault="00572C67" w:rsidP="00245908">
      <w:pPr>
        <w:spacing w:before="120"/>
        <w:jc w:val="both"/>
        <w:rPr>
          <w:rFonts w:ascii="Arial" w:hAnsi="Arial" w:cs="Arial"/>
          <w:iCs/>
          <w:color w:val="000000"/>
          <w:lang w:val="en-GB"/>
        </w:rPr>
      </w:pPr>
      <w:r w:rsidRPr="009E554B">
        <w:rPr>
          <w:rFonts w:ascii="Arial" w:hAnsi="Arial" w:cs="Arial"/>
          <w:iCs/>
          <w:color w:val="000000"/>
          <w:lang w:val="fr-FR"/>
        </w:rPr>
        <w:t xml:space="preserve">Après quelques jours, un membre de la famille de Margarita s'est rendu à une association locale de personnes handicapées pour </w:t>
      </w:r>
      <w:r w:rsidR="00542ED0" w:rsidRPr="009E554B">
        <w:rPr>
          <w:rFonts w:ascii="Arial" w:hAnsi="Arial" w:cs="Arial"/>
          <w:iCs/>
          <w:color w:val="000000"/>
          <w:lang w:val="fr-FR"/>
        </w:rPr>
        <w:t>avoir des</w:t>
      </w:r>
      <w:r w:rsidRPr="009E554B">
        <w:rPr>
          <w:rFonts w:ascii="Arial" w:hAnsi="Arial" w:cs="Arial"/>
          <w:iCs/>
          <w:color w:val="000000"/>
          <w:lang w:val="fr-FR"/>
        </w:rPr>
        <w:t xml:space="preserve"> conseil</w:t>
      </w:r>
      <w:r w:rsidR="00542ED0" w:rsidRPr="009E554B">
        <w:rPr>
          <w:rFonts w:ascii="Arial" w:hAnsi="Arial" w:cs="Arial"/>
          <w:iCs/>
          <w:color w:val="000000"/>
          <w:lang w:val="fr-FR"/>
        </w:rPr>
        <w:t>s</w:t>
      </w:r>
      <w:r w:rsidRPr="009E554B">
        <w:rPr>
          <w:rFonts w:ascii="Arial" w:hAnsi="Arial" w:cs="Arial"/>
          <w:iCs/>
          <w:color w:val="000000"/>
          <w:lang w:val="fr-FR"/>
        </w:rPr>
        <w:t>.</w:t>
      </w:r>
      <w:r w:rsidR="00647D4F" w:rsidRPr="000B0A7D">
        <w:rPr>
          <w:rFonts w:ascii="Arial" w:hAnsi="Arial" w:cs="Arial"/>
          <w:iCs/>
          <w:color w:val="000000"/>
          <w:lang w:val="en-GB"/>
        </w:rPr>
        <w:t xml:space="preserve"> </w:t>
      </w:r>
    </w:p>
    <w:p w:rsidR="00647D4F" w:rsidRPr="000B0A7D" w:rsidRDefault="009E554B" w:rsidP="00245908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val="en-GB"/>
        </w:rPr>
      </w:pPr>
      <w:r w:rsidRPr="009E554B">
        <w:rPr>
          <w:rFonts w:ascii="Arial" w:hAnsi="Arial" w:cs="Arial"/>
          <w:color w:val="000000"/>
          <w:lang w:val="fr-FR"/>
        </w:rPr>
        <w:t>Quelles sont les préoccupations des droits de l’homme ?</w:t>
      </w:r>
    </w:p>
    <w:p w:rsidR="00647D4F" w:rsidRPr="000B0A7D" w:rsidRDefault="00572C67" w:rsidP="00245908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val="en-GB"/>
        </w:rPr>
      </w:pPr>
      <w:r w:rsidRPr="009E554B">
        <w:rPr>
          <w:rFonts w:ascii="Arial" w:hAnsi="Arial" w:cs="Arial"/>
          <w:color w:val="000000"/>
          <w:lang w:val="fr-FR"/>
        </w:rPr>
        <w:t>Quelles sont les principales responsabilités dans ce cas et qui aurait dû faire quoi ?</w:t>
      </w:r>
    </w:p>
    <w:p w:rsidR="00647D4F" w:rsidRPr="000B0A7D" w:rsidRDefault="00572C67" w:rsidP="00245908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val="en-GB"/>
        </w:rPr>
      </w:pPr>
      <w:r w:rsidRPr="009E554B">
        <w:rPr>
          <w:rFonts w:ascii="Arial" w:hAnsi="Arial" w:cs="Arial"/>
          <w:color w:val="000000"/>
          <w:lang w:val="fr-FR"/>
        </w:rPr>
        <w:t xml:space="preserve">Quelles sont les conséquences possibles de la décision d'inscrire Margarita dans une école </w:t>
      </w:r>
      <w:r w:rsidR="00524709" w:rsidRPr="009E554B">
        <w:rPr>
          <w:rFonts w:ascii="Arial" w:hAnsi="Arial" w:cs="Arial"/>
          <w:color w:val="000000"/>
          <w:lang w:val="fr-FR"/>
        </w:rPr>
        <w:t xml:space="preserve">spécialisée ? </w:t>
      </w:r>
    </w:p>
    <w:p w:rsidR="00647D4F" w:rsidRPr="000B0A7D" w:rsidRDefault="00DA748B" w:rsidP="00245908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color w:val="000000"/>
          <w:lang w:val="en-GB"/>
        </w:rPr>
      </w:pPr>
      <w:r w:rsidRPr="009E554B">
        <w:rPr>
          <w:rFonts w:ascii="Arial" w:hAnsi="Arial" w:cs="Arial"/>
          <w:color w:val="000000"/>
          <w:lang w:val="fr-FR"/>
        </w:rPr>
        <w:t>Quelle action peut entreprendre</w:t>
      </w:r>
      <w:r w:rsidR="00542ED0" w:rsidRPr="009E554B">
        <w:rPr>
          <w:rFonts w:ascii="Arial" w:hAnsi="Arial" w:cs="Arial"/>
          <w:color w:val="000000"/>
          <w:lang w:val="fr-FR"/>
        </w:rPr>
        <w:t xml:space="preserve"> l'association</w:t>
      </w:r>
      <w:r w:rsidRPr="009E554B">
        <w:rPr>
          <w:rFonts w:ascii="Arial" w:hAnsi="Arial" w:cs="Arial"/>
          <w:color w:val="000000"/>
          <w:lang w:val="fr-FR"/>
        </w:rPr>
        <w:t xml:space="preserve"> à la fois </w:t>
      </w:r>
      <w:r w:rsidR="009E554B" w:rsidRPr="009E554B">
        <w:rPr>
          <w:rFonts w:ascii="Arial" w:hAnsi="Arial" w:cs="Arial"/>
          <w:color w:val="000000"/>
          <w:lang w:val="fr-FR"/>
        </w:rPr>
        <w:t>dans le cas précis et pour prévenir</w:t>
      </w:r>
      <w:r w:rsidRPr="009E554B">
        <w:rPr>
          <w:rFonts w:ascii="Arial" w:hAnsi="Arial" w:cs="Arial"/>
          <w:color w:val="000000"/>
          <w:lang w:val="fr-FR"/>
        </w:rPr>
        <w:t xml:space="preserve"> de</w:t>
      </w:r>
      <w:r w:rsidR="009E554B" w:rsidRPr="009E554B">
        <w:rPr>
          <w:rFonts w:ascii="Arial" w:hAnsi="Arial" w:cs="Arial"/>
          <w:color w:val="000000"/>
          <w:lang w:val="fr-FR"/>
        </w:rPr>
        <w:t>s</w:t>
      </w:r>
      <w:r w:rsidRPr="009E554B">
        <w:rPr>
          <w:rFonts w:ascii="Arial" w:hAnsi="Arial" w:cs="Arial"/>
          <w:color w:val="000000"/>
          <w:lang w:val="fr-FR"/>
        </w:rPr>
        <w:t xml:space="preserve"> cas similaires</w:t>
      </w:r>
      <w:r w:rsidR="00524709">
        <w:rPr>
          <w:rFonts w:ascii="Arial" w:hAnsi="Arial" w:cs="Arial"/>
          <w:color w:val="000000"/>
          <w:lang w:val="fr-FR"/>
        </w:rPr>
        <w:t> ?</w:t>
      </w:r>
    </w:p>
    <w:p w:rsidR="00647D4F" w:rsidRPr="000B0A7D" w:rsidRDefault="00647D4F" w:rsidP="00245908">
      <w:pPr>
        <w:pStyle w:val="Paragraphedeliste"/>
        <w:jc w:val="both"/>
        <w:rPr>
          <w:rFonts w:ascii="Arial" w:hAnsi="Arial" w:cs="Arial"/>
          <w:color w:val="000000"/>
          <w:sz w:val="22"/>
          <w:szCs w:val="22"/>
          <w:lang w:val="en-GB"/>
        </w:rPr>
      </w:pPr>
    </w:p>
    <w:p w:rsidR="00647D4F" w:rsidRPr="000B0A7D" w:rsidRDefault="00647D4F" w:rsidP="0024590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8"/>
          <w:szCs w:val="18"/>
          <w:lang w:val="en-GB"/>
        </w:rPr>
      </w:pPr>
      <w:r w:rsidRPr="000B0A7D">
        <w:rPr>
          <w:rFonts w:ascii="Arial" w:hAnsi="Arial" w:cs="Arial"/>
          <w:color w:val="000000"/>
          <w:sz w:val="18"/>
          <w:szCs w:val="18"/>
          <w:lang w:val="en-GB"/>
        </w:rPr>
        <w:t xml:space="preserve"> </w:t>
      </w:r>
    </w:p>
    <w:p w:rsidR="00647D4F" w:rsidRPr="000B0A7D" w:rsidRDefault="00647D4F" w:rsidP="00245908">
      <w:pPr>
        <w:jc w:val="both"/>
        <w:rPr>
          <w:rFonts w:ascii="Arial" w:hAnsi="Arial" w:cs="Arial"/>
          <w:bCs/>
          <w:lang w:val="en-GB"/>
        </w:rPr>
      </w:pPr>
    </w:p>
    <w:sectPr w:rsidR="00647D4F" w:rsidRPr="000B0A7D" w:rsidSect="009816E4">
      <w:headerReference w:type="default" r:id="rId10"/>
      <w:footerReference w:type="even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C67" w:rsidRDefault="00572C67">
      <w:r>
        <w:separator/>
      </w:r>
    </w:p>
  </w:endnote>
  <w:endnote w:type="continuationSeparator" w:id="0">
    <w:p w:rsidR="00572C67" w:rsidRDefault="00572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7" w:rsidRDefault="00572C67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72C67" w:rsidRDefault="00572C67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7" w:rsidRPr="005526DF" w:rsidRDefault="00572C67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BF1C27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572C67" w:rsidRPr="00524709" w:rsidRDefault="00572C67" w:rsidP="00FA0848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524709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C67" w:rsidRDefault="00572C67">
      <w:r>
        <w:separator/>
      </w:r>
    </w:p>
  </w:footnote>
  <w:footnote w:type="continuationSeparator" w:id="0">
    <w:p w:rsidR="00572C67" w:rsidRDefault="00572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C67" w:rsidRPr="00A70563" w:rsidRDefault="00572C67" w:rsidP="007349E9">
    <w:pPr>
      <w:pStyle w:val="En-tte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  <w:lang w:val="fr-FR"/>
      </w:rPr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2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  <w:p w:rsidR="00572C67" w:rsidRPr="007349E9" w:rsidRDefault="00572C67" w:rsidP="007349E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2C6C08"/>
    <w:multiLevelType w:val="hybridMultilevel"/>
    <w:tmpl w:val="D576D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1B1E5D"/>
    <w:multiLevelType w:val="hybridMultilevel"/>
    <w:tmpl w:val="19902A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4378D"/>
    <w:rsid w:val="00047B3A"/>
    <w:rsid w:val="00080842"/>
    <w:rsid w:val="00081EE2"/>
    <w:rsid w:val="00086549"/>
    <w:rsid w:val="00094713"/>
    <w:rsid w:val="000A0B75"/>
    <w:rsid w:val="000A23A0"/>
    <w:rsid w:val="000A346F"/>
    <w:rsid w:val="000A780F"/>
    <w:rsid w:val="000B0A7D"/>
    <w:rsid w:val="000B1483"/>
    <w:rsid w:val="000B2B3C"/>
    <w:rsid w:val="000C6506"/>
    <w:rsid w:val="000C6CCA"/>
    <w:rsid w:val="000D7432"/>
    <w:rsid w:val="000F15C0"/>
    <w:rsid w:val="00100DFE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67963"/>
    <w:rsid w:val="001751C9"/>
    <w:rsid w:val="001811FE"/>
    <w:rsid w:val="0018795A"/>
    <w:rsid w:val="00193191"/>
    <w:rsid w:val="001A4124"/>
    <w:rsid w:val="001B5212"/>
    <w:rsid w:val="001B7CFB"/>
    <w:rsid w:val="001C4FF5"/>
    <w:rsid w:val="001D0F8F"/>
    <w:rsid w:val="001D747D"/>
    <w:rsid w:val="001E73C9"/>
    <w:rsid w:val="00206DED"/>
    <w:rsid w:val="002106EA"/>
    <w:rsid w:val="002320AB"/>
    <w:rsid w:val="00235CD0"/>
    <w:rsid w:val="00240BC0"/>
    <w:rsid w:val="00241835"/>
    <w:rsid w:val="00245908"/>
    <w:rsid w:val="00246C90"/>
    <w:rsid w:val="00255E26"/>
    <w:rsid w:val="00262699"/>
    <w:rsid w:val="00264897"/>
    <w:rsid w:val="002675BF"/>
    <w:rsid w:val="00271066"/>
    <w:rsid w:val="00272A84"/>
    <w:rsid w:val="002840BC"/>
    <w:rsid w:val="00287A03"/>
    <w:rsid w:val="002931BB"/>
    <w:rsid w:val="002A6377"/>
    <w:rsid w:val="002B0149"/>
    <w:rsid w:val="002B3196"/>
    <w:rsid w:val="002B717D"/>
    <w:rsid w:val="002C2991"/>
    <w:rsid w:val="002C7E30"/>
    <w:rsid w:val="002E042B"/>
    <w:rsid w:val="002E165F"/>
    <w:rsid w:val="002E6009"/>
    <w:rsid w:val="002F6C94"/>
    <w:rsid w:val="002F79AD"/>
    <w:rsid w:val="003014F5"/>
    <w:rsid w:val="00302DAD"/>
    <w:rsid w:val="00317326"/>
    <w:rsid w:val="00320BC1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919F5"/>
    <w:rsid w:val="00394508"/>
    <w:rsid w:val="003A1DA1"/>
    <w:rsid w:val="003A257F"/>
    <w:rsid w:val="003A66DA"/>
    <w:rsid w:val="003B2611"/>
    <w:rsid w:val="003C5BA5"/>
    <w:rsid w:val="003C5D69"/>
    <w:rsid w:val="003C6810"/>
    <w:rsid w:val="003C79DD"/>
    <w:rsid w:val="003D0B7F"/>
    <w:rsid w:val="003D3D05"/>
    <w:rsid w:val="003D53F1"/>
    <w:rsid w:val="003D63F2"/>
    <w:rsid w:val="003D7054"/>
    <w:rsid w:val="003E39C8"/>
    <w:rsid w:val="003E482A"/>
    <w:rsid w:val="003F5FED"/>
    <w:rsid w:val="003F7A4B"/>
    <w:rsid w:val="003F7DAE"/>
    <w:rsid w:val="00401A56"/>
    <w:rsid w:val="00401CA6"/>
    <w:rsid w:val="00406A81"/>
    <w:rsid w:val="00411622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22F0D"/>
    <w:rsid w:val="00524709"/>
    <w:rsid w:val="00531E04"/>
    <w:rsid w:val="00534E2B"/>
    <w:rsid w:val="0054056F"/>
    <w:rsid w:val="00542ED0"/>
    <w:rsid w:val="005526DF"/>
    <w:rsid w:val="005529C6"/>
    <w:rsid w:val="00554A04"/>
    <w:rsid w:val="00555CF7"/>
    <w:rsid w:val="0057291B"/>
    <w:rsid w:val="00572C67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47D4F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39CF"/>
    <w:rsid w:val="00704326"/>
    <w:rsid w:val="00704CCD"/>
    <w:rsid w:val="007059B8"/>
    <w:rsid w:val="007117C5"/>
    <w:rsid w:val="00713354"/>
    <w:rsid w:val="00714E6D"/>
    <w:rsid w:val="007349E9"/>
    <w:rsid w:val="007448F1"/>
    <w:rsid w:val="00745A9E"/>
    <w:rsid w:val="007473BA"/>
    <w:rsid w:val="0075548F"/>
    <w:rsid w:val="007567B4"/>
    <w:rsid w:val="00771A78"/>
    <w:rsid w:val="007737D1"/>
    <w:rsid w:val="007764E1"/>
    <w:rsid w:val="00781A66"/>
    <w:rsid w:val="00783106"/>
    <w:rsid w:val="007B472D"/>
    <w:rsid w:val="007D020E"/>
    <w:rsid w:val="007D3D37"/>
    <w:rsid w:val="007E06A5"/>
    <w:rsid w:val="007E0E18"/>
    <w:rsid w:val="007E6059"/>
    <w:rsid w:val="007F05EE"/>
    <w:rsid w:val="007F1AD9"/>
    <w:rsid w:val="007F4CEF"/>
    <w:rsid w:val="00803651"/>
    <w:rsid w:val="008039AF"/>
    <w:rsid w:val="00805916"/>
    <w:rsid w:val="00822E0A"/>
    <w:rsid w:val="00837961"/>
    <w:rsid w:val="00841C65"/>
    <w:rsid w:val="00841D04"/>
    <w:rsid w:val="00851AD7"/>
    <w:rsid w:val="00857E78"/>
    <w:rsid w:val="0086691A"/>
    <w:rsid w:val="0088150F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0C7C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91846"/>
    <w:rsid w:val="009B0017"/>
    <w:rsid w:val="009C3560"/>
    <w:rsid w:val="009C4239"/>
    <w:rsid w:val="009C4E47"/>
    <w:rsid w:val="009D1DBD"/>
    <w:rsid w:val="009E14E0"/>
    <w:rsid w:val="009E4D17"/>
    <w:rsid w:val="009E554B"/>
    <w:rsid w:val="00A038FA"/>
    <w:rsid w:val="00A13AF6"/>
    <w:rsid w:val="00A16520"/>
    <w:rsid w:val="00A2229E"/>
    <w:rsid w:val="00A35182"/>
    <w:rsid w:val="00A35BE5"/>
    <w:rsid w:val="00A3680A"/>
    <w:rsid w:val="00A46AF9"/>
    <w:rsid w:val="00A51B15"/>
    <w:rsid w:val="00A54448"/>
    <w:rsid w:val="00A56CC7"/>
    <w:rsid w:val="00A6337A"/>
    <w:rsid w:val="00A70E54"/>
    <w:rsid w:val="00A80A1D"/>
    <w:rsid w:val="00A80DFC"/>
    <w:rsid w:val="00A81F4C"/>
    <w:rsid w:val="00A835C3"/>
    <w:rsid w:val="00A9365A"/>
    <w:rsid w:val="00AA0EA0"/>
    <w:rsid w:val="00AA3C49"/>
    <w:rsid w:val="00AB7EDF"/>
    <w:rsid w:val="00AC0645"/>
    <w:rsid w:val="00AC109B"/>
    <w:rsid w:val="00AD3D67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0C5F"/>
    <w:rsid w:val="00B540C1"/>
    <w:rsid w:val="00B643B7"/>
    <w:rsid w:val="00B75AF3"/>
    <w:rsid w:val="00B77FDE"/>
    <w:rsid w:val="00B82C11"/>
    <w:rsid w:val="00B871FF"/>
    <w:rsid w:val="00B96A3A"/>
    <w:rsid w:val="00BA0993"/>
    <w:rsid w:val="00BA2624"/>
    <w:rsid w:val="00BA4130"/>
    <w:rsid w:val="00BA46FD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C27"/>
    <w:rsid w:val="00BF1F85"/>
    <w:rsid w:val="00BF3312"/>
    <w:rsid w:val="00BF350E"/>
    <w:rsid w:val="00C00200"/>
    <w:rsid w:val="00C34434"/>
    <w:rsid w:val="00C35173"/>
    <w:rsid w:val="00C3677B"/>
    <w:rsid w:val="00C47CB1"/>
    <w:rsid w:val="00C50B4A"/>
    <w:rsid w:val="00C56DA3"/>
    <w:rsid w:val="00C575E5"/>
    <w:rsid w:val="00C606F3"/>
    <w:rsid w:val="00C82F70"/>
    <w:rsid w:val="00C843F0"/>
    <w:rsid w:val="00C9282E"/>
    <w:rsid w:val="00C94DB7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E45ED"/>
    <w:rsid w:val="00CE54B9"/>
    <w:rsid w:val="00CE7CED"/>
    <w:rsid w:val="00CF1DE1"/>
    <w:rsid w:val="00CF7AD0"/>
    <w:rsid w:val="00D007FC"/>
    <w:rsid w:val="00D10B30"/>
    <w:rsid w:val="00D16E1F"/>
    <w:rsid w:val="00D3132D"/>
    <w:rsid w:val="00D314E4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9705D"/>
    <w:rsid w:val="00D9795C"/>
    <w:rsid w:val="00DA748B"/>
    <w:rsid w:val="00DB22C9"/>
    <w:rsid w:val="00DC28DF"/>
    <w:rsid w:val="00DC2E80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3509"/>
    <w:rsid w:val="00E25694"/>
    <w:rsid w:val="00E32729"/>
    <w:rsid w:val="00E33E72"/>
    <w:rsid w:val="00E534E4"/>
    <w:rsid w:val="00E55D93"/>
    <w:rsid w:val="00E577A7"/>
    <w:rsid w:val="00E652AC"/>
    <w:rsid w:val="00E675C3"/>
    <w:rsid w:val="00E70764"/>
    <w:rsid w:val="00E928F7"/>
    <w:rsid w:val="00EA7491"/>
    <w:rsid w:val="00EB1FEE"/>
    <w:rsid w:val="00EB36D8"/>
    <w:rsid w:val="00EC17B7"/>
    <w:rsid w:val="00ED0502"/>
    <w:rsid w:val="00ED16F3"/>
    <w:rsid w:val="00ED1D63"/>
    <w:rsid w:val="00EE0426"/>
    <w:rsid w:val="00EF3341"/>
    <w:rsid w:val="00F03B06"/>
    <w:rsid w:val="00F20A86"/>
    <w:rsid w:val="00F21CA0"/>
    <w:rsid w:val="00F327BB"/>
    <w:rsid w:val="00F416E9"/>
    <w:rsid w:val="00F42A27"/>
    <w:rsid w:val="00F44D70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97C60"/>
    <w:rsid w:val="00FA0848"/>
    <w:rsid w:val="00FA0902"/>
    <w:rsid w:val="00FA1907"/>
    <w:rsid w:val="00FA26C8"/>
    <w:rsid w:val="00FA2B5F"/>
    <w:rsid w:val="00FB1BC5"/>
    <w:rsid w:val="00FB7339"/>
    <w:rsid w:val="00FC12A9"/>
    <w:rsid w:val="00FD5840"/>
    <w:rsid w:val="00FD63A9"/>
    <w:rsid w:val="00FD7D16"/>
    <w:rsid w:val="00FF1883"/>
    <w:rsid w:val="00FF436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25D4F9F-DC7F-435F-9264-576947D1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ameclaire-Accent1">
    <w:name w:val="Light Shading Accent 1"/>
    <w:basedOn w:val="Tableau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claire-Accent1">
    <w:name w:val="Light List Accent 1"/>
    <w:basedOn w:val="Tableau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auliste8">
    <w:name w:val="Table List 8"/>
    <w:basedOn w:val="Tableau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steclaire-Accent6">
    <w:name w:val="Light List Accent 6"/>
    <w:basedOn w:val="Tableau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A80A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80A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80A1D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0A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0A1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5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1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5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53A45F6AB2A940B420808D23E0E2E1" ma:contentTypeVersion="5" ma:contentTypeDescription="Create a new document." ma:contentTypeScope="" ma:versionID="b45cfc52ecc31d76052d15439fc52a56">
  <xsd:schema xmlns:xsd="http://www.w3.org/2001/XMLSchema" xmlns:p="http://schemas.microsoft.com/office/2006/metadata/properties" xmlns:ns1="http://schemas.microsoft.com/sharepoint/v3" xmlns:ns2="b4e33e86-409b-44c1-8485-331954efb210" targetNamespace="http://schemas.microsoft.com/office/2006/metadata/properties" ma:root="true" ma:fieldsID="74973961a257b9bc09ed2bb0155fe6b5" ns1:_="" ns2:_="">
    <xsd:import namespace="http://schemas.microsoft.com/sharepoint/v3"/>
    <xsd:import namespace="b4e33e86-409b-44c1-8485-331954efb210"/>
    <xsd:element name="properties">
      <xsd:complexType>
        <xsd:sequence>
          <xsd:element name="documentManagement">
            <xsd:complexType>
              <xsd:all>
                <xsd:element ref="ns2:FRTitle" minOccurs="0"/>
                <xsd:element ref="ns2:SPTitle" minOccurs="0"/>
                <xsd:element ref="ns2:ARTitle" minOccurs="0"/>
                <xsd:element ref="ns2:RUTitle" minOccurs="0"/>
                <xsd:element ref="ns2:CHTitle" minOccurs="0"/>
                <xsd:element ref="ns2:Order1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4e33e86-409b-44c1-8485-331954efb210" elementFormDefault="qualified">
    <xsd:import namespace="http://schemas.microsoft.com/office/2006/documentManagement/types"/>
    <xsd:element name="FRTitle" ma:index="2" nillable="true" ma:displayName="FRTitle" ma:internalName="FRTitle">
      <xsd:simpleType>
        <xsd:restriction base="dms:Text">
          <xsd:maxLength value="255"/>
        </xsd:restriction>
      </xsd:simpleType>
    </xsd:element>
    <xsd:element name="SPTitle" ma:index="3" nillable="true" ma:displayName="SPTitle" ma:internalName="SPTitle">
      <xsd:simpleType>
        <xsd:restriction base="dms:Text">
          <xsd:maxLength value="255"/>
        </xsd:restriction>
      </xsd:simpleType>
    </xsd:element>
    <xsd:element name="ARTitle" ma:index="4" nillable="true" ma:displayName="ARTitle" ma:internalName="ARTitle">
      <xsd:simpleType>
        <xsd:restriction base="dms:Text">
          <xsd:maxLength value="255"/>
        </xsd:restriction>
      </xsd:simpleType>
    </xsd:element>
    <xsd:element name="RUTitle" ma:index="5" nillable="true" ma:displayName="RUTitle" ma:internalName="RUTitle">
      <xsd:simpleType>
        <xsd:restriction base="dms:Text">
          <xsd:maxLength value="255"/>
        </xsd:restriction>
      </xsd:simpleType>
    </xsd:element>
    <xsd:element name="CHTitle" ma:index="6" nillable="true" ma:displayName="CHTitle" ma:internalName="CHTitle">
      <xsd:simpleType>
        <xsd:restriction base="dms:Text">
          <xsd:maxLength value="255"/>
        </xsd:restriction>
      </xsd:simpleType>
    </xsd:element>
    <xsd:element name="Order1" ma:index="7" nillable="true" ma:displayName="OrderNbr" ma:decimals="0" ma:internalName="Order1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 ma:readOnly="tru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Order1 xmlns="b4e33e86-409b-44c1-8485-331954efb210" xsi:nil="true"/>
    <ARTitle xmlns="b4e33e86-409b-44c1-8485-331954efb210" xsi:nil="true"/>
    <RUTitle xmlns="b4e33e86-409b-44c1-8485-331954efb210" xsi:nil="true"/>
    <CHTitle xmlns="b4e33e86-409b-44c1-8485-331954efb210" xsi:nil="true"/>
    <FRTitle xmlns="b4e33e86-409b-44c1-8485-331954efb210" xsi:nil="true"/>
    <SPTitle xmlns="b4e33e86-409b-44c1-8485-331954efb210" xsi:nil="true"/>
  </documentManagement>
</p:properties>
</file>

<file path=customXml/itemProps1.xml><?xml version="1.0" encoding="utf-8"?>
<ds:datastoreItem xmlns:ds="http://schemas.openxmlformats.org/officeDocument/2006/customXml" ds:itemID="{5147851C-FD7A-4581-8F07-39A3F3682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e33e86-409b-44c1-8485-331954efb21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5E04D8-8F01-4B26-B45B-7493890259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98010A-63BF-43A3-90B3-63DB52A71477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b4e33e86-409b-44c1-8485-331954efb21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858</Words>
  <Characters>4725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>OHCHR</Company>
  <LinksUpToDate>false</LinksUpToDate>
  <CharactersWithSpaces>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Liam Mahony</dc:creator>
  <cp:lastModifiedBy>SABINE FOURNIER</cp:lastModifiedBy>
  <cp:revision>5</cp:revision>
  <cp:lastPrinted>2010-05-12T16:49:00Z</cp:lastPrinted>
  <dcterms:created xsi:type="dcterms:W3CDTF">2015-09-29T14:36:00Z</dcterms:created>
  <dcterms:modified xsi:type="dcterms:W3CDTF">2015-09-30T12:23:00Z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0x0101000653A45F6AB2A940B420808D23E0E2E1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</Properties>
</file>